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E7F5" w14:textId="77777777" w:rsidR="00B30FD1" w:rsidRPr="00984FD4" w:rsidRDefault="00B30FD1" w:rsidP="00B30FD1">
      <w:pPr>
        <w:jc w:val="center"/>
      </w:pPr>
      <w:r w:rsidRPr="00984FD4">
        <w:rPr>
          <w:rFonts w:ascii="Arial" w:eastAsia="Times New Roman" w:hAnsi="Arial" w:cs="Arial"/>
          <w:b/>
          <w:bCs/>
          <w:noProof/>
          <w:sz w:val="24"/>
          <w:szCs w:val="24"/>
          <w:lang w:val="fr-FR"/>
        </w:rPr>
        <w:drawing>
          <wp:inline distT="0" distB="0" distL="0" distR="0" wp14:anchorId="7E73E2D7" wp14:editId="3ED24C77">
            <wp:extent cx="1615440" cy="1481455"/>
            <wp:effectExtent l="0" t="0" r="381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1481455"/>
                    </a:xfrm>
                    <a:prstGeom prst="rect">
                      <a:avLst/>
                    </a:prstGeom>
                    <a:noFill/>
                  </pic:spPr>
                </pic:pic>
              </a:graphicData>
            </a:graphic>
          </wp:inline>
        </w:drawing>
      </w:r>
    </w:p>
    <w:p w14:paraId="063CA0C9" w14:textId="77777777" w:rsidR="00B30FD1" w:rsidRPr="00984FD4" w:rsidRDefault="00B30FD1" w:rsidP="00B30FD1">
      <w:pPr>
        <w:jc w:val="center"/>
        <w:rPr>
          <w:b/>
          <w:bCs/>
          <w:sz w:val="24"/>
          <w:szCs w:val="24"/>
        </w:rPr>
      </w:pPr>
      <w:r w:rsidRPr="00984FD4">
        <w:rPr>
          <w:b/>
          <w:bCs/>
          <w:sz w:val="24"/>
          <w:szCs w:val="24"/>
        </w:rPr>
        <w:t>B.P. 325 L-2013 Luxembourg</w:t>
      </w:r>
    </w:p>
    <w:p w14:paraId="5EF0FF62" w14:textId="77777777" w:rsidR="00B30FD1" w:rsidRPr="00984FD4" w:rsidRDefault="00B30FD1" w:rsidP="00B30FD1">
      <w:pPr>
        <w:keepNext/>
        <w:spacing w:before="100" w:after="0" w:line="240" w:lineRule="auto"/>
        <w:jc w:val="center"/>
        <w:outlineLvl w:val="1"/>
        <w:rPr>
          <w:rFonts w:ascii="Arial Black" w:eastAsia="Times New Roman" w:hAnsi="Arial Black" w:cs="Arial"/>
          <w:b/>
          <w:bCs/>
          <w:sz w:val="24"/>
          <w:szCs w:val="24"/>
          <w:u w:val="single"/>
          <w:lang w:val="fr-FR"/>
        </w:rPr>
      </w:pPr>
      <w:r w:rsidRPr="00984FD4">
        <w:rPr>
          <w:rFonts w:ascii="Arial Black" w:eastAsia="Times New Roman" w:hAnsi="Arial Black" w:cs="Arial"/>
          <w:b/>
          <w:bCs/>
          <w:sz w:val="24"/>
          <w:szCs w:val="24"/>
          <w:u w:val="single"/>
          <w:lang w:val="fr-FR"/>
        </w:rPr>
        <w:t>Règlement du Fonds social</w:t>
      </w:r>
    </w:p>
    <w:p w14:paraId="5E822D90" w14:textId="77777777" w:rsidR="00B30FD1" w:rsidRPr="00984FD4" w:rsidRDefault="00B30FD1" w:rsidP="00B30FD1">
      <w:pPr>
        <w:keepNext/>
        <w:spacing w:before="100" w:after="0" w:line="240" w:lineRule="auto"/>
        <w:jc w:val="center"/>
        <w:outlineLvl w:val="1"/>
        <w:rPr>
          <w:rFonts w:ascii="Arial" w:eastAsia="Times New Roman" w:hAnsi="Arial" w:cs="Arial"/>
          <w:b/>
          <w:bCs/>
          <w:sz w:val="24"/>
          <w:szCs w:val="24"/>
          <w:u w:val="single"/>
          <w:lang w:val="fr-FR"/>
        </w:rPr>
      </w:pPr>
      <w:r w:rsidRPr="00984FD4">
        <w:rPr>
          <w:rFonts w:ascii="Arial" w:hAnsi="Arial" w:cs="Arial"/>
          <w:b/>
          <w:bCs/>
          <w:sz w:val="24"/>
          <w:szCs w:val="24"/>
          <w:u w:val="single"/>
        </w:rPr>
        <w:t>Date d’application : 01.04.2022 </w:t>
      </w:r>
    </w:p>
    <w:p w14:paraId="431ADAC8" w14:textId="77777777" w:rsidR="00B30FD1" w:rsidRPr="00984FD4" w:rsidRDefault="00B30FD1" w:rsidP="00B30FD1">
      <w:pPr>
        <w:numPr>
          <w:ilvl w:val="0"/>
          <w:numId w:val="1"/>
        </w:numPr>
        <w:spacing w:before="100" w:after="0" w:line="240" w:lineRule="auto"/>
        <w:jc w:val="both"/>
        <w:rPr>
          <w:rFonts w:ascii="Arial" w:eastAsia="Times New Roman" w:hAnsi="Arial" w:cs="Arial"/>
          <w:b/>
          <w:sz w:val="20"/>
          <w:szCs w:val="20"/>
          <w:lang w:val="fr-FR"/>
        </w:rPr>
      </w:pPr>
      <w:r w:rsidRPr="00984FD4">
        <w:rPr>
          <w:rFonts w:ascii="Arial" w:eastAsia="Times New Roman" w:hAnsi="Arial" w:cs="Arial"/>
          <w:b/>
          <w:sz w:val="20"/>
          <w:szCs w:val="20"/>
          <w:lang w:val="fr-FR"/>
        </w:rPr>
        <w:t>Définition</w:t>
      </w:r>
    </w:p>
    <w:p w14:paraId="784812F4" w14:textId="77777777" w:rsidR="00B30FD1" w:rsidRPr="00984FD4" w:rsidRDefault="00B30FD1" w:rsidP="00B30FD1">
      <w:pPr>
        <w:spacing w:before="100" w:after="0" w:line="240" w:lineRule="auto"/>
        <w:jc w:val="both"/>
        <w:rPr>
          <w:rFonts w:ascii="Arial" w:eastAsia="Times New Roman" w:hAnsi="Arial" w:cs="Arial"/>
          <w:sz w:val="20"/>
          <w:szCs w:val="20"/>
          <w:lang w:val="fr-FR"/>
        </w:rPr>
      </w:pPr>
    </w:p>
    <w:p w14:paraId="000C14DA" w14:textId="77777777" w:rsidR="00B30FD1" w:rsidRPr="00984FD4" w:rsidRDefault="00B30FD1" w:rsidP="00B30FD1">
      <w:pPr>
        <w:spacing w:before="100" w:after="0" w:line="240" w:lineRule="auto"/>
        <w:jc w:val="both"/>
        <w:rPr>
          <w:rFonts w:ascii="Arial" w:eastAsia="Times New Roman" w:hAnsi="Arial" w:cs="Arial"/>
          <w:sz w:val="20"/>
          <w:szCs w:val="20"/>
          <w:lang w:val="fr-FR"/>
        </w:rPr>
      </w:pPr>
      <w:r w:rsidRPr="00984FD4">
        <w:rPr>
          <w:rFonts w:ascii="Arial" w:eastAsia="Times New Roman" w:hAnsi="Arial" w:cs="Arial"/>
          <w:sz w:val="20"/>
          <w:szCs w:val="20"/>
          <w:lang w:val="fr-FR"/>
        </w:rPr>
        <w:t>Le Fonds social a pour but d’apporter aux membres de la Mutuelle une aide financière en cas de maladie, d’accident, d’hospitalisation ou de soins dentaires en vertu de l’article 7b des statuts de la Mutuelle de l’ALEBA.</w:t>
      </w:r>
    </w:p>
    <w:p w14:paraId="6A88AC8F" w14:textId="77777777" w:rsidR="00B30FD1" w:rsidRPr="00984FD4" w:rsidRDefault="00B30FD1" w:rsidP="00B30FD1">
      <w:pPr>
        <w:spacing w:before="100" w:after="0" w:line="240" w:lineRule="auto"/>
        <w:jc w:val="both"/>
        <w:rPr>
          <w:rFonts w:ascii="Arial" w:eastAsia="Times New Roman" w:hAnsi="Arial" w:cs="Arial"/>
          <w:sz w:val="20"/>
          <w:szCs w:val="20"/>
          <w:lang w:val="fr-FR"/>
        </w:rPr>
      </w:pPr>
    </w:p>
    <w:p w14:paraId="1850E117" w14:textId="77777777" w:rsidR="00B30FD1" w:rsidRPr="00984FD4" w:rsidRDefault="00B30FD1" w:rsidP="00B30FD1">
      <w:pPr>
        <w:numPr>
          <w:ilvl w:val="0"/>
          <w:numId w:val="1"/>
        </w:numPr>
        <w:spacing w:before="100" w:after="0" w:line="240" w:lineRule="auto"/>
        <w:jc w:val="both"/>
        <w:rPr>
          <w:rFonts w:ascii="Arial" w:eastAsia="Times New Roman" w:hAnsi="Arial" w:cs="Arial"/>
          <w:b/>
          <w:sz w:val="20"/>
          <w:szCs w:val="20"/>
          <w:lang w:val="fr-FR"/>
        </w:rPr>
      </w:pPr>
      <w:r w:rsidRPr="00984FD4">
        <w:rPr>
          <w:rFonts w:ascii="Arial" w:eastAsia="Times New Roman" w:hAnsi="Arial" w:cs="Arial"/>
          <w:b/>
          <w:sz w:val="20"/>
          <w:szCs w:val="20"/>
          <w:lang w:val="fr-FR"/>
        </w:rPr>
        <w:t>Bénéficiaires</w:t>
      </w:r>
    </w:p>
    <w:p w14:paraId="71D7E91F" w14:textId="77777777" w:rsidR="00B30FD1" w:rsidRPr="00984FD4" w:rsidRDefault="00B30FD1" w:rsidP="00B30FD1">
      <w:pPr>
        <w:spacing w:before="100" w:after="0" w:line="240" w:lineRule="auto"/>
        <w:jc w:val="both"/>
        <w:rPr>
          <w:rFonts w:ascii="Arial" w:eastAsia="Times New Roman" w:hAnsi="Arial" w:cs="Arial"/>
          <w:sz w:val="20"/>
          <w:szCs w:val="20"/>
          <w:lang w:val="fr-FR"/>
        </w:rPr>
      </w:pPr>
    </w:p>
    <w:p w14:paraId="03174C31" w14:textId="77777777" w:rsidR="00B30FD1" w:rsidRPr="00984FD4" w:rsidRDefault="00B30FD1" w:rsidP="00B30FD1">
      <w:pPr>
        <w:spacing w:before="100" w:after="0" w:line="240" w:lineRule="auto"/>
        <w:jc w:val="both"/>
        <w:rPr>
          <w:rFonts w:ascii="Arial" w:eastAsia="Times New Roman" w:hAnsi="Arial" w:cs="Arial"/>
          <w:b/>
          <w:bCs/>
          <w:sz w:val="20"/>
          <w:szCs w:val="20"/>
          <w:lang w:val="fr-FR"/>
        </w:rPr>
      </w:pPr>
      <w:r w:rsidRPr="00984FD4">
        <w:rPr>
          <w:rFonts w:ascii="Arial" w:eastAsia="Times New Roman" w:hAnsi="Arial" w:cs="Arial"/>
          <w:sz w:val="20"/>
          <w:szCs w:val="20"/>
          <w:lang w:val="fr-FR"/>
        </w:rPr>
        <w:t>Tous les membres spécifiés à l’article 10 des statuts de la Mutuelle de l’ALEBA, après observation d’un délai de carence de 12 mois.</w:t>
      </w:r>
    </w:p>
    <w:p w14:paraId="2FD2A614" w14:textId="77777777" w:rsidR="00B30FD1" w:rsidRPr="00984FD4" w:rsidRDefault="00B30FD1" w:rsidP="00B30FD1">
      <w:pPr>
        <w:spacing w:before="100" w:after="0" w:line="240" w:lineRule="auto"/>
        <w:jc w:val="both"/>
        <w:rPr>
          <w:rFonts w:ascii="Arial" w:eastAsia="Times New Roman" w:hAnsi="Arial" w:cs="Arial"/>
          <w:sz w:val="20"/>
          <w:szCs w:val="20"/>
          <w:lang w:val="fr-FR"/>
        </w:rPr>
      </w:pPr>
    </w:p>
    <w:p w14:paraId="3F3A2289" w14:textId="77777777" w:rsidR="00B30FD1" w:rsidRPr="00984FD4" w:rsidRDefault="00B30FD1" w:rsidP="00B30FD1">
      <w:pPr>
        <w:numPr>
          <w:ilvl w:val="0"/>
          <w:numId w:val="1"/>
        </w:numPr>
        <w:spacing w:before="100" w:after="0" w:line="240" w:lineRule="auto"/>
        <w:jc w:val="both"/>
        <w:rPr>
          <w:rFonts w:ascii="Arial" w:eastAsia="Times New Roman" w:hAnsi="Arial" w:cs="Arial"/>
          <w:b/>
          <w:sz w:val="20"/>
          <w:szCs w:val="20"/>
          <w:lang w:val="fr-FR"/>
        </w:rPr>
      </w:pPr>
      <w:r w:rsidRPr="00984FD4">
        <w:rPr>
          <w:rFonts w:ascii="Arial" w:eastAsia="Times New Roman" w:hAnsi="Arial" w:cs="Arial"/>
          <w:b/>
          <w:sz w:val="20"/>
          <w:szCs w:val="20"/>
          <w:lang w:val="fr-FR"/>
        </w:rPr>
        <w:t>Dotation du Fonds social et règlement d’intervention</w:t>
      </w:r>
    </w:p>
    <w:p w14:paraId="344BC760" w14:textId="77777777" w:rsidR="00B30FD1" w:rsidRPr="00984FD4" w:rsidRDefault="00B30FD1" w:rsidP="00B30FD1">
      <w:pPr>
        <w:spacing w:before="100" w:after="0" w:line="240" w:lineRule="auto"/>
        <w:jc w:val="both"/>
        <w:rPr>
          <w:rFonts w:ascii="Arial" w:eastAsia="Times New Roman" w:hAnsi="Arial" w:cs="Arial"/>
          <w:sz w:val="20"/>
          <w:szCs w:val="20"/>
          <w:lang w:val="fr-FR"/>
        </w:rPr>
      </w:pPr>
    </w:p>
    <w:p w14:paraId="5A2C6D0A" w14:textId="77777777" w:rsidR="00B30FD1" w:rsidRPr="00984FD4" w:rsidRDefault="00B30FD1" w:rsidP="00B30FD1">
      <w:pPr>
        <w:spacing w:before="100" w:after="0" w:line="240" w:lineRule="auto"/>
        <w:contextualSpacing/>
        <w:jc w:val="both"/>
        <w:rPr>
          <w:rFonts w:ascii="Arial" w:eastAsia="Times New Roman" w:hAnsi="Arial" w:cs="Arial"/>
          <w:sz w:val="20"/>
          <w:szCs w:val="20"/>
          <w:lang w:val="fr-FR"/>
        </w:rPr>
      </w:pPr>
      <w:r w:rsidRPr="00984FD4">
        <w:rPr>
          <w:rFonts w:ascii="Arial" w:eastAsia="Times New Roman" w:hAnsi="Arial" w:cs="Arial"/>
          <w:sz w:val="20"/>
          <w:szCs w:val="20"/>
          <w:lang w:val="fr-FR"/>
        </w:rPr>
        <w:t xml:space="preserve">Un montant de 10.000 € est alloué annuellement au Fonds social. En cas de dépassement de ce plafond, les remboursements seront proratisés. Toute modification de ce montant devra être validée par le CA. </w:t>
      </w:r>
    </w:p>
    <w:p w14:paraId="755FF730" w14:textId="77777777" w:rsidR="00B30FD1" w:rsidRPr="00984FD4" w:rsidRDefault="00B30FD1" w:rsidP="00B30FD1">
      <w:pPr>
        <w:spacing w:before="100" w:after="0" w:line="240" w:lineRule="auto"/>
        <w:contextualSpacing/>
        <w:jc w:val="both"/>
        <w:rPr>
          <w:rFonts w:ascii="Arial" w:eastAsia="Times New Roman" w:hAnsi="Arial" w:cs="Arial"/>
          <w:sz w:val="20"/>
          <w:szCs w:val="20"/>
          <w:lang w:val="fr-FR"/>
        </w:rPr>
      </w:pPr>
    </w:p>
    <w:p w14:paraId="7D9AF57A" w14:textId="77777777" w:rsidR="00B30FD1" w:rsidRPr="00984FD4" w:rsidRDefault="00B30FD1" w:rsidP="00B30FD1">
      <w:pPr>
        <w:pStyle w:val="Paragraphedeliste"/>
        <w:numPr>
          <w:ilvl w:val="0"/>
          <w:numId w:val="1"/>
        </w:numPr>
        <w:spacing w:before="100" w:after="0" w:line="240" w:lineRule="auto"/>
        <w:jc w:val="both"/>
        <w:rPr>
          <w:rFonts w:ascii="Arial" w:eastAsia="Times New Roman" w:hAnsi="Arial" w:cs="Arial"/>
          <w:b/>
          <w:bCs/>
          <w:sz w:val="20"/>
          <w:szCs w:val="20"/>
          <w:lang w:val="fr-FR"/>
        </w:rPr>
      </w:pPr>
      <w:r w:rsidRPr="00984FD4">
        <w:rPr>
          <w:rFonts w:ascii="Arial" w:eastAsia="Times New Roman" w:hAnsi="Arial" w:cs="Arial"/>
          <w:b/>
          <w:bCs/>
          <w:sz w:val="20"/>
          <w:szCs w:val="20"/>
          <w:lang w:val="fr-FR"/>
        </w:rPr>
        <w:t>Demande de participation</w:t>
      </w:r>
    </w:p>
    <w:p w14:paraId="3CC85211" w14:textId="77777777" w:rsidR="00B30FD1" w:rsidRPr="00984FD4" w:rsidRDefault="00B30FD1" w:rsidP="00B30FD1">
      <w:pPr>
        <w:spacing w:before="100" w:after="0" w:line="240" w:lineRule="auto"/>
        <w:jc w:val="both"/>
        <w:rPr>
          <w:rFonts w:ascii="Arial" w:eastAsia="Times New Roman" w:hAnsi="Arial" w:cs="Arial"/>
          <w:b/>
          <w:bCs/>
          <w:sz w:val="20"/>
          <w:szCs w:val="20"/>
          <w:lang w:val="fr-FR"/>
        </w:rPr>
      </w:pPr>
    </w:p>
    <w:p w14:paraId="6C011CAE" w14:textId="77777777" w:rsidR="00B30FD1" w:rsidRPr="00984FD4" w:rsidRDefault="00B30FD1" w:rsidP="00B30FD1">
      <w:pPr>
        <w:spacing w:before="100" w:after="0" w:line="240" w:lineRule="auto"/>
        <w:jc w:val="both"/>
        <w:rPr>
          <w:rFonts w:ascii="Arial" w:eastAsia="Times New Roman" w:hAnsi="Arial" w:cs="Arial"/>
          <w:sz w:val="20"/>
          <w:szCs w:val="20"/>
          <w:u w:val="single"/>
          <w:lang w:val="fr-FR"/>
        </w:rPr>
      </w:pPr>
      <w:r w:rsidRPr="00984FD4">
        <w:rPr>
          <w:rFonts w:ascii="Arial" w:eastAsia="Times New Roman" w:hAnsi="Arial" w:cs="Arial"/>
          <w:sz w:val="20"/>
          <w:szCs w:val="20"/>
          <w:lang w:val="fr-FR"/>
        </w:rPr>
        <w:t xml:space="preserve">La demande est adressée au Fonds social de la Mutuelle de l’ALEBA, BP 325, L-2013 Luxembourg. Le formulaire est disponible sur le site </w:t>
      </w:r>
      <w:hyperlink r:id="rId8" w:history="1">
        <w:r w:rsidRPr="00984FD4">
          <w:rPr>
            <w:rStyle w:val="Lienhypertexte"/>
            <w:rFonts w:ascii="Arial" w:eastAsia="Times New Roman" w:hAnsi="Arial" w:cs="Arial"/>
            <w:color w:val="auto"/>
            <w:sz w:val="20"/>
            <w:szCs w:val="20"/>
            <w:lang w:val="fr-FR"/>
          </w:rPr>
          <w:t>www.aleba.lu/mutuelle</w:t>
        </w:r>
      </w:hyperlink>
      <w:r w:rsidRPr="00984FD4">
        <w:rPr>
          <w:rFonts w:ascii="Arial" w:eastAsia="Times New Roman" w:hAnsi="Arial" w:cs="Arial"/>
          <w:sz w:val="20"/>
          <w:szCs w:val="20"/>
          <w:u w:val="single"/>
          <w:lang w:val="fr-FR"/>
        </w:rPr>
        <w:t xml:space="preserve">. </w:t>
      </w:r>
    </w:p>
    <w:p w14:paraId="01B63C7F" w14:textId="77777777" w:rsidR="00B30FD1" w:rsidRPr="00984FD4" w:rsidRDefault="00B30FD1" w:rsidP="00B30FD1">
      <w:pPr>
        <w:spacing w:before="100" w:after="0" w:line="240" w:lineRule="auto"/>
        <w:jc w:val="both"/>
        <w:rPr>
          <w:rFonts w:ascii="Arial" w:eastAsia="Times New Roman" w:hAnsi="Arial" w:cs="Arial"/>
          <w:sz w:val="20"/>
          <w:szCs w:val="20"/>
          <w:lang w:val="fr-FR"/>
        </w:rPr>
      </w:pPr>
      <w:r w:rsidRPr="00984FD4">
        <w:rPr>
          <w:rFonts w:ascii="Arial" w:eastAsia="Times New Roman" w:hAnsi="Arial" w:cs="Arial"/>
          <w:sz w:val="20"/>
          <w:szCs w:val="20"/>
          <w:lang w:val="fr-FR"/>
        </w:rPr>
        <w:t>La demande doit être accompagnée de toutes les pièces justificatives, copies des factures et décomptes de remboursement.</w:t>
      </w:r>
    </w:p>
    <w:p w14:paraId="473B7C39" w14:textId="77777777" w:rsidR="00B30FD1" w:rsidRPr="00984FD4" w:rsidRDefault="00B30FD1" w:rsidP="00B30FD1">
      <w:pPr>
        <w:spacing w:before="100" w:after="0" w:line="240" w:lineRule="auto"/>
        <w:contextualSpacing/>
        <w:jc w:val="both"/>
        <w:rPr>
          <w:rFonts w:ascii="Arial" w:eastAsia="Times New Roman" w:hAnsi="Arial" w:cs="Arial"/>
          <w:sz w:val="20"/>
          <w:szCs w:val="20"/>
          <w:lang w:val="fr-FR"/>
        </w:rPr>
      </w:pPr>
    </w:p>
    <w:p w14:paraId="5019775E" w14:textId="77777777" w:rsidR="00B30FD1" w:rsidRPr="00984FD4" w:rsidRDefault="00B30FD1" w:rsidP="00B30FD1">
      <w:pPr>
        <w:pStyle w:val="Paragraphedeliste"/>
        <w:numPr>
          <w:ilvl w:val="0"/>
          <w:numId w:val="1"/>
        </w:numPr>
        <w:spacing w:before="100" w:line="240" w:lineRule="auto"/>
        <w:jc w:val="both"/>
        <w:rPr>
          <w:rFonts w:ascii="Arial" w:eastAsia="Times New Roman" w:hAnsi="Arial" w:cs="Arial"/>
          <w:b/>
          <w:bCs/>
          <w:sz w:val="20"/>
          <w:szCs w:val="20"/>
          <w:lang w:val="fr-FR"/>
        </w:rPr>
      </w:pPr>
      <w:r w:rsidRPr="00984FD4">
        <w:rPr>
          <w:rFonts w:ascii="Arial" w:eastAsia="Times New Roman" w:hAnsi="Arial" w:cs="Arial"/>
          <w:b/>
          <w:bCs/>
          <w:sz w:val="20"/>
          <w:szCs w:val="20"/>
          <w:lang w:val="fr-FR"/>
        </w:rPr>
        <w:t>Conditions générales d’intervention du Fonds social</w:t>
      </w:r>
    </w:p>
    <w:p w14:paraId="7C0527C3" w14:textId="77777777" w:rsidR="00B30FD1" w:rsidRPr="00984FD4" w:rsidRDefault="00B30FD1" w:rsidP="00B30FD1">
      <w:pPr>
        <w:spacing w:after="0" w:line="240" w:lineRule="auto"/>
        <w:jc w:val="both"/>
        <w:rPr>
          <w:rFonts w:ascii="Arial" w:eastAsia="Times New Roman" w:hAnsi="Arial" w:cs="Arial"/>
          <w:b/>
          <w:bCs/>
          <w:sz w:val="20"/>
          <w:szCs w:val="20"/>
          <w:lang w:val="fr-FR"/>
        </w:rPr>
      </w:pPr>
    </w:p>
    <w:p w14:paraId="6CD36324" w14:textId="77777777" w:rsidR="00B30FD1" w:rsidRPr="00984FD4" w:rsidRDefault="00B30FD1" w:rsidP="00B30FD1">
      <w:pPr>
        <w:pStyle w:val="Paragraphedeliste"/>
        <w:numPr>
          <w:ilvl w:val="0"/>
          <w:numId w:val="2"/>
        </w:numPr>
        <w:spacing w:after="0" w:line="240" w:lineRule="auto"/>
        <w:jc w:val="both"/>
        <w:rPr>
          <w:rFonts w:ascii="Arial" w:eastAsia="Times New Roman" w:hAnsi="Arial" w:cs="Arial"/>
          <w:sz w:val="20"/>
          <w:szCs w:val="20"/>
          <w:lang w:val="fr-FR" w:eastAsia="fr-FR"/>
        </w:rPr>
      </w:pPr>
      <w:r w:rsidRPr="00984FD4">
        <w:rPr>
          <w:rFonts w:ascii="Arial" w:eastAsia="Times New Roman" w:hAnsi="Arial" w:cs="Arial"/>
          <w:sz w:val="20"/>
          <w:szCs w:val="20"/>
          <w:lang w:val="fr-FR"/>
        </w:rPr>
        <w:t xml:space="preserve">Aucun remboursement n’est effectué par le Fonds social à défaut d’une intervention de la part de la CNS (Caisse Nationale de Santé Luxembourg) ou d’une assurance maladie obligatoire étrangère. </w:t>
      </w:r>
      <w:r w:rsidRPr="00984FD4">
        <w:rPr>
          <w:rFonts w:ascii="Arial" w:eastAsia="Times New Roman" w:hAnsi="Arial" w:cs="Arial"/>
          <w:sz w:val="20"/>
          <w:szCs w:val="20"/>
          <w:lang w:val="fr-FR" w:eastAsia="fr-FR"/>
        </w:rPr>
        <w:t>Les montants n’ouvrant pas droit à un remboursement de la part de la CNS (p.ex. convenances personnelles, suppléments de première classe etc.) ne sont pas considérés lors de l’établissement du décompte.</w:t>
      </w:r>
    </w:p>
    <w:p w14:paraId="048F4D4C" w14:textId="77777777" w:rsidR="00B30FD1" w:rsidRPr="00984FD4" w:rsidRDefault="00B30FD1" w:rsidP="00B30FD1">
      <w:pPr>
        <w:pStyle w:val="Paragraphedeliste"/>
        <w:spacing w:after="0" w:line="240" w:lineRule="auto"/>
        <w:jc w:val="both"/>
        <w:rPr>
          <w:rFonts w:ascii="Arial" w:eastAsia="Times New Roman" w:hAnsi="Arial" w:cs="Arial"/>
          <w:sz w:val="20"/>
          <w:szCs w:val="20"/>
          <w:lang w:val="fr-FR" w:eastAsia="fr-FR"/>
        </w:rPr>
      </w:pPr>
    </w:p>
    <w:p w14:paraId="089521C6" w14:textId="77777777" w:rsidR="00B30FD1" w:rsidRPr="00984FD4" w:rsidRDefault="00B30FD1" w:rsidP="00B30FD1">
      <w:pPr>
        <w:numPr>
          <w:ilvl w:val="0"/>
          <w:numId w:val="2"/>
        </w:numPr>
        <w:spacing w:after="0" w:line="240" w:lineRule="auto"/>
        <w:contextualSpacing/>
        <w:jc w:val="both"/>
        <w:rPr>
          <w:rFonts w:ascii="Arial" w:eastAsia="Times New Roman" w:hAnsi="Arial" w:cs="Arial"/>
          <w:sz w:val="20"/>
          <w:szCs w:val="20"/>
          <w:lang w:val="fr-FR"/>
        </w:rPr>
      </w:pPr>
      <w:r w:rsidRPr="00984FD4">
        <w:rPr>
          <w:rFonts w:ascii="Arial" w:eastAsia="Times New Roman" w:hAnsi="Arial" w:cs="Arial"/>
          <w:sz w:val="20"/>
          <w:szCs w:val="20"/>
          <w:lang w:val="fr-FR"/>
        </w:rPr>
        <w:t>Le découvert à charge de l’affilié doit s’élever au moins à 800 € après remboursement par la</w:t>
      </w:r>
      <w:bookmarkStart w:id="0" w:name="_Hlk31014962"/>
      <w:r w:rsidRPr="00984FD4">
        <w:rPr>
          <w:rFonts w:ascii="Arial" w:eastAsia="Times New Roman" w:hAnsi="Arial" w:cs="Arial"/>
          <w:sz w:val="20"/>
          <w:szCs w:val="20"/>
          <w:lang w:val="fr-FR"/>
        </w:rPr>
        <w:t xml:space="preserve"> CNS </w:t>
      </w:r>
      <w:bookmarkEnd w:id="0"/>
      <w:r w:rsidRPr="00984FD4">
        <w:rPr>
          <w:rFonts w:ascii="Arial" w:eastAsia="Times New Roman" w:hAnsi="Arial" w:cs="Arial"/>
          <w:sz w:val="20"/>
          <w:szCs w:val="20"/>
          <w:lang w:val="fr-FR"/>
        </w:rPr>
        <w:t xml:space="preserve">ou par une assurance maladie obligatoire étrangère, par la CMCM et/ou par d’autres Mutuelles et/ou assurances complémentaires au Grand-Duché de Luxembourg et/ou à l’étranger. </w:t>
      </w:r>
      <w:bookmarkStart w:id="1" w:name="_Hlk95404631"/>
      <w:r w:rsidRPr="00984FD4">
        <w:rPr>
          <w:rFonts w:ascii="Arial" w:eastAsia="Times New Roman" w:hAnsi="Arial" w:cs="Arial"/>
          <w:sz w:val="20"/>
          <w:szCs w:val="20"/>
          <w:lang w:val="fr-FR"/>
        </w:rPr>
        <w:t>Le montant maximum de prise en charge est fixé à 2.000 €.</w:t>
      </w:r>
      <w:bookmarkStart w:id="2" w:name="_Hlk12784884"/>
      <w:bookmarkEnd w:id="1"/>
    </w:p>
    <w:p w14:paraId="5C3D4F24" w14:textId="77777777" w:rsidR="00B30FD1" w:rsidRPr="00984FD4" w:rsidRDefault="00B30FD1" w:rsidP="00B30FD1">
      <w:pPr>
        <w:spacing w:after="0" w:line="240" w:lineRule="auto"/>
        <w:ind w:left="708"/>
        <w:contextualSpacing/>
        <w:jc w:val="both"/>
        <w:rPr>
          <w:rFonts w:ascii="Arial" w:eastAsia="Times New Roman" w:hAnsi="Arial" w:cs="Arial"/>
          <w:sz w:val="20"/>
          <w:szCs w:val="20"/>
          <w:lang w:val="fr-FR"/>
        </w:rPr>
      </w:pPr>
    </w:p>
    <w:p w14:paraId="37120A58" w14:textId="77777777" w:rsidR="00B30FD1" w:rsidRPr="00984FD4" w:rsidRDefault="00B30FD1" w:rsidP="00B30FD1">
      <w:pPr>
        <w:pStyle w:val="Paragraphedeliste"/>
        <w:numPr>
          <w:ilvl w:val="0"/>
          <w:numId w:val="2"/>
        </w:numPr>
        <w:spacing w:after="0" w:line="240" w:lineRule="auto"/>
        <w:jc w:val="both"/>
        <w:rPr>
          <w:rFonts w:ascii="Arial" w:eastAsia="Times New Roman" w:hAnsi="Arial" w:cs="Arial"/>
          <w:sz w:val="20"/>
          <w:szCs w:val="20"/>
          <w:lang w:val="fr-FR"/>
        </w:rPr>
      </w:pPr>
      <w:r w:rsidRPr="00984FD4">
        <w:rPr>
          <w:rFonts w:ascii="Arial" w:eastAsia="Times New Roman" w:hAnsi="Arial" w:cs="Arial"/>
          <w:sz w:val="20"/>
          <w:szCs w:val="20"/>
          <w:lang w:val="fr-FR"/>
        </w:rPr>
        <w:lastRenderedPageBreak/>
        <w:t>Pour le demandeur qui n’est pas membre d’une mutuelle ou assurance complémentaire, soit au Grand-Duché de Luxembourg soit à l’étranger, le montant théorique pris en compte par la CMCM sera déduit du montant restant à charge.</w:t>
      </w:r>
    </w:p>
    <w:p w14:paraId="4A23ABE2" w14:textId="77777777" w:rsidR="00B30FD1" w:rsidRPr="00984FD4" w:rsidRDefault="00B30FD1" w:rsidP="00B30FD1">
      <w:pPr>
        <w:spacing w:line="240" w:lineRule="auto"/>
        <w:ind w:left="720"/>
        <w:contextualSpacing/>
        <w:jc w:val="both"/>
        <w:rPr>
          <w:rFonts w:ascii="Arial" w:eastAsia="Times New Roman" w:hAnsi="Arial" w:cs="Arial"/>
          <w:sz w:val="20"/>
          <w:szCs w:val="20"/>
          <w:lang w:val="fr-FR" w:eastAsia="fr-FR"/>
        </w:rPr>
      </w:pPr>
    </w:p>
    <w:p w14:paraId="5585D5BE" w14:textId="77777777" w:rsidR="00B30FD1" w:rsidRPr="00984FD4" w:rsidRDefault="00B30FD1" w:rsidP="00B30FD1">
      <w:pPr>
        <w:pStyle w:val="Paragraphedeliste"/>
        <w:numPr>
          <w:ilvl w:val="0"/>
          <w:numId w:val="2"/>
        </w:numPr>
        <w:spacing w:after="0" w:line="240" w:lineRule="auto"/>
        <w:jc w:val="both"/>
        <w:rPr>
          <w:rFonts w:ascii="Arial" w:eastAsia="Times New Roman" w:hAnsi="Arial" w:cs="Arial"/>
          <w:sz w:val="20"/>
          <w:szCs w:val="20"/>
          <w:lang w:val="fr-FR" w:eastAsia="fr-FR"/>
        </w:rPr>
      </w:pPr>
      <w:bookmarkStart w:id="3" w:name="_Hlk95404503"/>
      <w:r w:rsidRPr="00984FD4">
        <w:rPr>
          <w:rFonts w:ascii="Arial" w:eastAsia="Times New Roman" w:hAnsi="Arial" w:cs="Arial"/>
          <w:sz w:val="20"/>
          <w:szCs w:val="20"/>
          <w:lang w:val="fr-FR" w:eastAsia="fr-FR"/>
        </w:rPr>
        <w:t>Le total des participations du Fonds social, de la CNS, d’une assurance maladie obligatoire étrangère, de la CMCM et/ou d’autres Mutuelles et/ou assurances complémentaires, au Grand-Duché de Luxembourg et/ou à l’étranger, ne pourra en aucun cas être supérieur au montant facturé pour la prestation.</w:t>
      </w:r>
      <w:bookmarkEnd w:id="3"/>
    </w:p>
    <w:p w14:paraId="0A65AF4C" w14:textId="77777777" w:rsidR="00B30FD1" w:rsidRPr="00984FD4" w:rsidRDefault="00B30FD1" w:rsidP="00B30FD1">
      <w:pPr>
        <w:spacing w:after="0" w:line="240" w:lineRule="auto"/>
        <w:ind w:left="720"/>
        <w:contextualSpacing/>
        <w:jc w:val="both"/>
        <w:rPr>
          <w:rFonts w:ascii="Arial" w:eastAsia="Times New Roman" w:hAnsi="Arial" w:cs="Arial"/>
          <w:sz w:val="20"/>
          <w:szCs w:val="20"/>
          <w:lang w:val="fr-FR" w:eastAsia="fr-FR"/>
        </w:rPr>
      </w:pPr>
    </w:p>
    <w:bookmarkEnd w:id="2"/>
    <w:p w14:paraId="7A029ED8" w14:textId="77777777" w:rsidR="00B30FD1" w:rsidRPr="00984FD4" w:rsidRDefault="00B30FD1" w:rsidP="00B30FD1">
      <w:pPr>
        <w:pStyle w:val="Paragraphedeliste"/>
        <w:numPr>
          <w:ilvl w:val="0"/>
          <w:numId w:val="2"/>
        </w:numPr>
        <w:spacing w:after="0" w:line="240" w:lineRule="auto"/>
        <w:jc w:val="both"/>
        <w:rPr>
          <w:rFonts w:ascii="Arial" w:eastAsia="Times New Roman" w:hAnsi="Arial" w:cs="Arial"/>
          <w:sz w:val="20"/>
          <w:szCs w:val="20"/>
          <w:lang w:val="fr-FR"/>
        </w:rPr>
      </w:pPr>
      <w:r w:rsidRPr="00984FD4">
        <w:rPr>
          <w:rFonts w:ascii="Arial" w:eastAsia="Times New Roman" w:hAnsi="Arial" w:cs="Arial"/>
          <w:sz w:val="20"/>
          <w:szCs w:val="20"/>
          <w:lang w:val="fr-FR"/>
        </w:rPr>
        <w:t>Le Conseil d’Administration de la Mutuelle de l’ALEBA se réserve le droit de refuser des dossiers concernant des maladies chroniques, après une première prise en charge.</w:t>
      </w:r>
    </w:p>
    <w:p w14:paraId="5194B310" w14:textId="77777777" w:rsidR="00B30FD1" w:rsidRPr="00984FD4" w:rsidRDefault="00B30FD1" w:rsidP="00B30FD1">
      <w:pPr>
        <w:spacing w:line="240" w:lineRule="auto"/>
        <w:ind w:left="720"/>
        <w:contextualSpacing/>
        <w:jc w:val="both"/>
        <w:rPr>
          <w:rFonts w:ascii="Arial" w:eastAsia="Times New Roman" w:hAnsi="Arial" w:cs="Arial"/>
          <w:sz w:val="20"/>
          <w:szCs w:val="20"/>
          <w:lang w:val="fr-FR"/>
        </w:rPr>
      </w:pPr>
    </w:p>
    <w:p w14:paraId="50A64A8C" w14:textId="77777777" w:rsidR="00B30FD1" w:rsidRPr="00984FD4" w:rsidRDefault="00B30FD1" w:rsidP="00B30FD1">
      <w:pPr>
        <w:numPr>
          <w:ilvl w:val="0"/>
          <w:numId w:val="2"/>
        </w:numPr>
        <w:spacing w:before="240" w:after="0" w:line="240" w:lineRule="auto"/>
        <w:contextualSpacing/>
        <w:jc w:val="both"/>
        <w:rPr>
          <w:rFonts w:ascii="Arial" w:eastAsiaTheme="minorEastAsia" w:hAnsi="Arial" w:cs="Arial"/>
          <w:sz w:val="20"/>
          <w:szCs w:val="20"/>
        </w:rPr>
      </w:pPr>
      <w:r w:rsidRPr="00984FD4">
        <w:rPr>
          <w:rFonts w:ascii="Arial" w:eastAsiaTheme="minorEastAsia" w:hAnsi="Arial" w:cs="Arial"/>
          <w:sz w:val="20"/>
          <w:szCs w:val="20"/>
        </w:rPr>
        <w:t>Afin de garantir les prestations dues, la Mutuelle doit veiller à ce que le patrimoine soit suffisant pour faire face aux dépenses.</w:t>
      </w:r>
    </w:p>
    <w:p w14:paraId="1686BF9E" w14:textId="77777777" w:rsidR="00B30FD1" w:rsidRPr="00984FD4" w:rsidRDefault="00B30FD1" w:rsidP="00B30FD1">
      <w:pPr>
        <w:spacing w:after="0" w:line="240" w:lineRule="auto"/>
        <w:ind w:left="708"/>
        <w:contextualSpacing/>
        <w:jc w:val="both"/>
        <w:rPr>
          <w:rFonts w:ascii="Arial" w:eastAsiaTheme="minorEastAsia" w:hAnsi="Arial" w:cs="Arial"/>
          <w:sz w:val="20"/>
          <w:szCs w:val="20"/>
        </w:rPr>
      </w:pPr>
    </w:p>
    <w:p w14:paraId="4A71D34F" w14:textId="77777777" w:rsidR="00B30FD1" w:rsidRPr="00984FD4" w:rsidRDefault="00B30FD1" w:rsidP="00B30FD1">
      <w:pPr>
        <w:pStyle w:val="Paragraphedeliste"/>
        <w:numPr>
          <w:ilvl w:val="0"/>
          <w:numId w:val="2"/>
        </w:numPr>
        <w:spacing w:after="0" w:line="240" w:lineRule="auto"/>
        <w:jc w:val="both"/>
        <w:rPr>
          <w:rFonts w:ascii="Arial" w:eastAsiaTheme="minorEastAsia" w:hAnsi="Arial" w:cs="Arial"/>
          <w:sz w:val="20"/>
          <w:szCs w:val="20"/>
        </w:rPr>
      </w:pPr>
      <w:r w:rsidRPr="00984FD4">
        <w:rPr>
          <w:rFonts w:ascii="Arial" w:eastAsiaTheme="minorEastAsia" w:hAnsi="Arial" w:cs="Arial"/>
          <w:sz w:val="20"/>
          <w:szCs w:val="20"/>
        </w:rPr>
        <w:t>Chaque demande de remboursement ne concernera qu’une seule pathologie ou un seul traitement.</w:t>
      </w:r>
    </w:p>
    <w:p w14:paraId="0BC45F69" w14:textId="77777777" w:rsidR="00B30FD1" w:rsidRPr="00984FD4" w:rsidRDefault="00B30FD1" w:rsidP="00B30FD1">
      <w:pPr>
        <w:pStyle w:val="Paragraphedeliste"/>
        <w:spacing w:after="0" w:line="240" w:lineRule="auto"/>
        <w:jc w:val="both"/>
        <w:rPr>
          <w:rFonts w:ascii="Arial" w:eastAsiaTheme="minorEastAsia" w:hAnsi="Arial" w:cs="Arial"/>
          <w:sz w:val="20"/>
          <w:szCs w:val="20"/>
        </w:rPr>
      </w:pPr>
    </w:p>
    <w:p w14:paraId="078CED3B" w14:textId="77777777" w:rsidR="00B30FD1" w:rsidRPr="00984FD4" w:rsidRDefault="00B30FD1" w:rsidP="00B30FD1">
      <w:pPr>
        <w:pStyle w:val="Paragraphedeliste"/>
        <w:numPr>
          <w:ilvl w:val="0"/>
          <w:numId w:val="2"/>
        </w:numPr>
        <w:spacing w:after="0" w:line="240" w:lineRule="auto"/>
        <w:jc w:val="both"/>
        <w:rPr>
          <w:rFonts w:ascii="Arial" w:eastAsiaTheme="minorEastAsia" w:hAnsi="Arial" w:cs="Arial"/>
          <w:sz w:val="20"/>
          <w:szCs w:val="20"/>
        </w:rPr>
      </w:pPr>
      <w:r w:rsidRPr="00984FD4">
        <w:rPr>
          <w:rFonts w:ascii="Arial" w:eastAsiaTheme="minorEastAsia" w:hAnsi="Arial" w:cs="Arial"/>
          <w:sz w:val="20"/>
          <w:szCs w:val="20"/>
        </w:rPr>
        <w:t>Le Fonds social ne couvre que le seul membre affilié à l’ALEBA ou à l’Amicale des membres pensionnés de l’ALEBA.</w:t>
      </w:r>
    </w:p>
    <w:p w14:paraId="447598BF" w14:textId="77777777" w:rsidR="00B30FD1" w:rsidRPr="00984FD4" w:rsidRDefault="00B30FD1" w:rsidP="00B30FD1">
      <w:pPr>
        <w:spacing w:after="0" w:line="240" w:lineRule="auto"/>
        <w:jc w:val="both"/>
        <w:rPr>
          <w:rFonts w:ascii="Arial" w:eastAsia="Times New Roman" w:hAnsi="Arial" w:cs="Arial"/>
          <w:sz w:val="20"/>
          <w:szCs w:val="20"/>
          <w:lang w:val="fr-FR"/>
        </w:rPr>
      </w:pPr>
    </w:p>
    <w:p w14:paraId="6E71A695" w14:textId="77777777" w:rsidR="00B30FD1" w:rsidRPr="00984FD4" w:rsidRDefault="00B30FD1" w:rsidP="00B30FD1">
      <w:pPr>
        <w:pStyle w:val="Paragraphedeliste"/>
        <w:numPr>
          <w:ilvl w:val="0"/>
          <w:numId w:val="1"/>
        </w:numPr>
        <w:spacing w:after="0" w:line="240" w:lineRule="auto"/>
        <w:jc w:val="both"/>
        <w:rPr>
          <w:rFonts w:ascii="Arial" w:eastAsia="Times New Roman" w:hAnsi="Arial" w:cs="Arial"/>
          <w:sz w:val="20"/>
          <w:szCs w:val="20"/>
          <w:lang w:val="fr-FR"/>
        </w:rPr>
      </w:pPr>
      <w:r w:rsidRPr="00984FD4">
        <w:rPr>
          <w:rFonts w:ascii="Arial" w:eastAsia="Times New Roman" w:hAnsi="Arial" w:cs="Arial"/>
          <w:sz w:val="20"/>
          <w:szCs w:val="20"/>
          <w:lang w:val="fr-FR"/>
        </w:rPr>
        <w:t>Frais dentaires</w:t>
      </w:r>
    </w:p>
    <w:p w14:paraId="1910A21C" w14:textId="77777777" w:rsidR="00B30FD1" w:rsidRPr="00984FD4" w:rsidRDefault="00B30FD1" w:rsidP="00B30FD1">
      <w:pPr>
        <w:pStyle w:val="Paragraphedeliste"/>
        <w:spacing w:after="0" w:line="240" w:lineRule="auto"/>
        <w:ind w:left="360"/>
        <w:jc w:val="both"/>
        <w:rPr>
          <w:rFonts w:ascii="Arial" w:eastAsia="Times New Roman" w:hAnsi="Arial" w:cs="Arial"/>
          <w:sz w:val="20"/>
          <w:szCs w:val="20"/>
          <w:lang w:val="fr-FR"/>
        </w:rPr>
      </w:pPr>
    </w:p>
    <w:p w14:paraId="2E27C8F1" w14:textId="77777777" w:rsidR="00B30FD1" w:rsidRPr="00984FD4" w:rsidRDefault="00B30FD1" w:rsidP="00B30FD1">
      <w:pPr>
        <w:pStyle w:val="Paragraphedeliste"/>
        <w:numPr>
          <w:ilvl w:val="0"/>
          <w:numId w:val="4"/>
        </w:numPr>
        <w:spacing w:after="0" w:line="240" w:lineRule="auto"/>
        <w:jc w:val="both"/>
        <w:rPr>
          <w:rFonts w:ascii="Arial" w:eastAsia="Times New Roman" w:hAnsi="Arial" w:cs="Arial"/>
          <w:sz w:val="20"/>
          <w:szCs w:val="20"/>
          <w:lang w:val="fr-FR" w:eastAsia="fr-FR"/>
        </w:rPr>
      </w:pPr>
      <w:r w:rsidRPr="00984FD4">
        <w:rPr>
          <w:rFonts w:ascii="Arial" w:hAnsi="Arial" w:cs="Arial"/>
          <w:sz w:val="20"/>
          <w:szCs w:val="20"/>
        </w:rPr>
        <w:t>Implants dentaires.</w:t>
      </w:r>
    </w:p>
    <w:p w14:paraId="475484F1" w14:textId="77777777" w:rsidR="00B30FD1" w:rsidRPr="00984FD4" w:rsidRDefault="00B30FD1" w:rsidP="00B30FD1">
      <w:pPr>
        <w:pStyle w:val="Paragraphedeliste"/>
        <w:spacing w:after="0" w:line="240" w:lineRule="auto"/>
        <w:jc w:val="both"/>
        <w:rPr>
          <w:rFonts w:ascii="Arial" w:hAnsi="Arial" w:cs="Arial"/>
          <w:sz w:val="20"/>
          <w:szCs w:val="20"/>
        </w:rPr>
      </w:pPr>
    </w:p>
    <w:p w14:paraId="107CDEA8" w14:textId="77777777" w:rsidR="00B30FD1" w:rsidRPr="00984FD4" w:rsidRDefault="00B30FD1" w:rsidP="00B30FD1">
      <w:pPr>
        <w:pStyle w:val="Paragraphedeliste"/>
        <w:spacing w:after="0" w:line="240" w:lineRule="auto"/>
        <w:jc w:val="both"/>
        <w:rPr>
          <w:rFonts w:ascii="Arial" w:eastAsia="Times New Roman" w:hAnsi="Arial" w:cs="Arial"/>
          <w:sz w:val="20"/>
          <w:szCs w:val="20"/>
          <w:lang w:val="fr-FR" w:eastAsia="fr-FR"/>
        </w:rPr>
      </w:pPr>
      <w:r w:rsidRPr="00984FD4">
        <w:rPr>
          <w:rFonts w:ascii="Arial" w:hAnsi="Arial" w:cs="Arial"/>
          <w:sz w:val="20"/>
          <w:szCs w:val="20"/>
        </w:rPr>
        <w:t>Par dérogation à l’article 5 A), le Fonds social prend en charge les prestations pour implants dentaires, tels que pris en charge par la Caisse Médico-Complémentaire Mutualiste (CMCM), à hauteur d’un forfait de 150 € par implant, avec un plafond annuel de 450 €. Les dispositions des articles 5 C) et 5 D) restent d’application.</w:t>
      </w:r>
    </w:p>
    <w:p w14:paraId="217682FD" w14:textId="77777777" w:rsidR="00B30FD1" w:rsidRPr="00984FD4" w:rsidRDefault="00B30FD1" w:rsidP="00B30FD1">
      <w:pPr>
        <w:spacing w:after="0" w:line="240" w:lineRule="auto"/>
        <w:ind w:left="709"/>
        <w:jc w:val="both"/>
        <w:rPr>
          <w:rFonts w:ascii="Arial" w:eastAsia="Times New Roman" w:hAnsi="Arial" w:cs="Arial"/>
          <w:sz w:val="20"/>
          <w:szCs w:val="20"/>
          <w:lang w:val="fr-FR" w:eastAsia="fr-FR"/>
        </w:rPr>
      </w:pPr>
    </w:p>
    <w:p w14:paraId="5A8BE0FA" w14:textId="77777777" w:rsidR="00B30FD1" w:rsidRPr="00984FD4" w:rsidRDefault="00B30FD1" w:rsidP="00B30FD1">
      <w:pPr>
        <w:pStyle w:val="Paragraphedeliste"/>
        <w:numPr>
          <w:ilvl w:val="0"/>
          <w:numId w:val="4"/>
        </w:numPr>
        <w:spacing w:after="0" w:line="240" w:lineRule="auto"/>
        <w:jc w:val="both"/>
        <w:rPr>
          <w:rFonts w:ascii="Arial" w:eastAsia="Times New Roman" w:hAnsi="Arial" w:cs="Arial"/>
          <w:sz w:val="20"/>
          <w:szCs w:val="20"/>
          <w:lang w:val="fr-FR" w:eastAsia="fr-FR"/>
        </w:rPr>
      </w:pPr>
      <w:r w:rsidRPr="00984FD4">
        <w:rPr>
          <w:rFonts w:ascii="Arial" w:eastAsia="Times New Roman" w:hAnsi="Arial" w:cs="Arial"/>
          <w:sz w:val="20"/>
          <w:szCs w:val="20"/>
          <w:lang w:val="fr-FR" w:eastAsia="fr-FR"/>
        </w:rPr>
        <w:t xml:space="preserve">Autres traitements dentaires. </w:t>
      </w:r>
    </w:p>
    <w:p w14:paraId="4342B215" w14:textId="77777777" w:rsidR="00B30FD1" w:rsidRPr="00984FD4" w:rsidRDefault="00B30FD1" w:rsidP="00B30FD1">
      <w:pPr>
        <w:spacing w:after="0" w:line="240" w:lineRule="auto"/>
        <w:ind w:left="708"/>
        <w:jc w:val="both"/>
        <w:rPr>
          <w:rFonts w:ascii="Arial" w:eastAsia="Times New Roman" w:hAnsi="Arial" w:cs="Arial"/>
          <w:sz w:val="20"/>
          <w:szCs w:val="20"/>
          <w:lang w:val="fr-FR" w:eastAsia="fr-FR"/>
        </w:rPr>
      </w:pPr>
    </w:p>
    <w:p w14:paraId="70B6B29B" w14:textId="77777777" w:rsidR="00B30FD1" w:rsidRPr="00984FD4" w:rsidRDefault="00B30FD1" w:rsidP="00B30FD1">
      <w:pPr>
        <w:spacing w:after="0" w:line="240" w:lineRule="auto"/>
        <w:ind w:left="708"/>
        <w:jc w:val="both"/>
        <w:rPr>
          <w:rFonts w:ascii="Arial" w:eastAsia="Times New Roman" w:hAnsi="Arial" w:cs="Arial"/>
          <w:sz w:val="20"/>
          <w:szCs w:val="20"/>
          <w:lang w:val="fr-FR" w:eastAsia="fr-FR"/>
        </w:rPr>
      </w:pPr>
      <w:r w:rsidRPr="00984FD4">
        <w:rPr>
          <w:rFonts w:ascii="Arial" w:eastAsia="Times New Roman" w:hAnsi="Arial" w:cs="Arial"/>
          <w:sz w:val="20"/>
          <w:szCs w:val="20"/>
          <w:lang w:val="fr-FR" w:eastAsia="fr-FR"/>
        </w:rPr>
        <w:t>Pour les autres frais pour soins dentaires, la participation du Fonds social est limitée à 50 % du total de la participation de la CNS et de la CMCM. Le total des participations du Fonds social, de la CNS et de la CMCM ne pourra en aucun cas être supérieur à 50 % du montant facturé pour la prestation.</w:t>
      </w:r>
      <w:r w:rsidRPr="00984FD4">
        <w:rPr>
          <w:rFonts w:ascii="Arial" w:eastAsia="Times New Roman" w:hAnsi="Arial" w:cs="Arial"/>
          <w:sz w:val="20"/>
          <w:szCs w:val="20"/>
          <w:lang w:val="fr-FR"/>
        </w:rPr>
        <w:t xml:space="preserve"> Pour le demandeur qui n’est pas membre de la CMCM, le montant théorique pris en compte par celle-ci sera déduit du montant restant à charge. Le montant maximum de prise en charge est fixé à 2.000 €.</w:t>
      </w:r>
    </w:p>
    <w:p w14:paraId="2BEEE27D" w14:textId="77777777" w:rsidR="00B30FD1" w:rsidRPr="00984FD4" w:rsidRDefault="00B30FD1" w:rsidP="00B30FD1">
      <w:pPr>
        <w:spacing w:after="0" w:line="240" w:lineRule="auto"/>
        <w:jc w:val="both"/>
        <w:rPr>
          <w:rFonts w:ascii="Arial" w:eastAsia="Times New Roman" w:hAnsi="Arial" w:cs="Arial"/>
          <w:sz w:val="20"/>
          <w:szCs w:val="20"/>
          <w:lang w:val="fr-FR" w:eastAsia="fr-FR"/>
        </w:rPr>
      </w:pPr>
    </w:p>
    <w:p w14:paraId="0673AAC2" w14:textId="77777777" w:rsidR="00B30FD1" w:rsidRPr="00984FD4" w:rsidRDefault="00B30FD1" w:rsidP="00B30FD1">
      <w:pPr>
        <w:numPr>
          <w:ilvl w:val="0"/>
          <w:numId w:val="1"/>
        </w:numPr>
        <w:spacing w:before="100" w:after="0" w:line="240" w:lineRule="auto"/>
        <w:jc w:val="both"/>
        <w:rPr>
          <w:rFonts w:ascii="Arial" w:eastAsia="Times New Roman" w:hAnsi="Arial" w:cs="Arial"/>
          <w:b/>
          <w:sz w:val="20"/>
          <w:szCs w:val="20"/>
          <w:lang w:val="fr-FR"/>
        </w:rPr>
      </w:pPr>
      <w:r w:rsidRPr="00984FD4">
        <w:rPr>
          <w:rFonts w:ascii="Arial" w:eastAsia="Times New Roman" w:hAnsi="Arial" w:cs="Arial"/>
          <w:b/>
          <w:sz w:val="20"/>
          <w:szCs w:val="20"/>
          <w:lang w:val="fr-FR"/>
        </w:rPr>
        <w:t>Prescription</w:t>
      </w:r>
    </w:p>
    <w:p w14:paraId="1E6A83AF" w14:textId="77777777" w:rsidR="00B30FD1" w:rsidRPr="00984FD4" w:rsidRDefault="00B30FD1" w:rsidP="00B30FD1">
      <w:pPr>
        <w:spacing w:before="100" w:after="0" w:line="240" w:lineRule="auto"/>
        <w:jc w:val="both"/>
        <w:rPr>
          <w:rFonts w:ascii="Arial" w:eastAsia="Times New Roman" w:hAnsi="Arial" w:cs="Arial"/>
          <w:sz w:val="20"/>
          <w:szCs w:val="20"/>
          <w:lang w:val="fr-FR"/>
        </w:rPr>
      </w:pPr>
    </w:p>
    <w:p w14:paraId="774A94AE" w14:textId="77777777" w:rsidR="00B30FD1" w:rsidRPr="00984FD4" w:rsidRDefault="00B30FD1" w:rsidP="00B30FD1">
      <w:pPr>
        <w:spacing w:before="100" w:after="0" w:line="240" w:lineRule="auto"/>
        <w:contextualSpacing/>
        <w:jc w:val="both"/>
        <w:rPr>
          <w:rFonts w:ascii="Arial" w:eastAsia="Times New Roman" w:hAnsi="Arial" w:cs="Arial"/>
          <w:sz w:val="20"/>
          <w:szCs w:val="20"/>
          <w:lang w:val="fr-FR"/>
        </w:rPr>
      </w:pPr>
      <w:r w:rsidRPr="00984FD4">
        <w:rPr>
          <w:rFonts w:ascii="Arial" w:eastAsia="Times New Roman" w:hAnsi="Arial" w:cs="Arial"/>
          <w:sz w:val="20"/>
          <w:szCs w:val="20"/>
          <w:lang w:val="fr-FR"/>
        </w:rPr>
        <w:t xml:space="preserve">Par analogie aux dispositions en vigueur auprès de la CNS, les demandes de remboursement prévues dans le présent règlement sont prescrites deux (2) ans après l’établissement de la facture. </w:t>
      </w:r>
    </w:p>
    <w:p w14:paraId="0336DBB0" w14:textId="77777777" w:rsidR="00B30FD1" w:rsidRPr="00984FD4" w:rsidRDefault="00B30FD1" w:rsidP="00B30FD1">
      <w:pPr>
        <w:spacing w:after="0" w:line="240" w:lineRule="auto"/>
        <w:jc w:val="both"/>
        <w:rPr>
          <w:rFonts w:ascii="Arial" w:eastAsia="Times New Roman" w:hAnsi="Arial" w:cs="Arial"/>
          <w:sz w:val="20"/>
          <w:szCs w:val="20"/>
          <w:lang w:val="fr-FR"/>
        </w:rPr>
      </w:pPr>
    </w:p>
    <w:p w14:paraId="6A96A7CE" w14:textId="77777777" w:rsidR="00B30FD1" w:rsidRPr="00984FD4" w:rsidRDefault="00B30FD1" w:rsidP="00B30FD1">
      <w:pPr>
        <w:numPr>
          <w:ilvl w:val="0"/>
          <w:numId w:val="1"/>
        </w:numPr>
        <w:spacing w:before="100" w:after="0" w:line="240" w:lineRule="auto"/>
        <w:jc w:val="both"/>
        <w:rPr>
          <w:rFonts w:ascii="Arial" w:eastAsia="Times New Roman" w:hAnsi="Arial" w:cs="Arial"/>
          <w:b/>
          <w:sz w:val="20"/>
          <w:szCs w:val="20"/>
          <w:lang w:val="fr-FR"/>
        </w:rPr>
      </w:pPr>
      <w:r w:rsidRPr="00984FD4">
        <w:rPr>
          <w:rFonts w:ascii="Arial" w:eastAsia="Times New Roman" w:hAnsi="Arial" w:cs="Arial"/>
          <w:b/>
          <w:sz w:val="20"/>
          <w:szCs w:val="20"/>
          <w:lang w:val="fr-FR"/>
        </w:rPr>
        <w:t>Dispositions additionnelles</w:t>
      </w:r>
    </w:p>
    <w:p w14:paraId="30B084DF" w14:textId="77777777" w:rsidR="00B30FD1" w:rsidRPr="00984FD4" w:rsidRDefault="00B30FD1" w:rsidP="00B30FD1">
      <w:pPr>
        <w:spacing w:after="0" w:line="240" w:lineRule="auto"/>
        <w:ind w:left="708"/>
        <w:jc w:val="both"/>
        <w:rPr>
          <w:rFonts w:ascii="Arial" w:eastAsia="Times New Roman" w:hAnsi="Arial" w:cs="Arial"/>
          <w:sz w:val="20"/>
          <w:szCs w:val="20"/>
          <w:lang w:val="fr-FR"/>
        </w:rPr>
      </w:pPr>
    </w:p>
    <w:p w14:paraId="7EE6333A" w14:textId="06A51BE7" w:rsidR="00B30FD1" w:rsidRPr="00984FD4" w:rsidRDefault="00B30FD1" w:rsidP="00B30FD1">
      <w:pPr>
        <w:numPr>
          <w:ilvl w:val="0"/>
          <w:numId w:val="3"/>
        </w:numPr>
        <w:spacing w:after="0" w:line="240" w:lineRule="auto"/>
        <w:rPr>
          <w:rFonts w:ascii="Arial" w:eastAsia="Times New Roman" w:hAnsi="Arial" w:cs="Arial"/>
          <w:sz w:val="20"/>
          <w:szCs w:val="20"/>
          <w:lang w:eastAsia="fr-LU"/>
        </w:rPr>
      </w:pPr>
      <w:r w:rsidRPr="00984FD4">
        <w:rPr>
          <w:rFonts w:ascii="Arial" w:eastAsia="Times New Roman" w:hAnsi="Arial" w:cs="Arial"/>
          <w:sz w:val="20"/>
          <w:szCs w:val="20"/>
          <w:lang w:eastAsia="fr-LU"/>
        </w:rPr>
        <w:t>Ce règlement s’applique à tous les dossiers soumis à partir du 1</w:t>
      </w:r>
      <w:r w:rsidRPr="00984FD4">
        <w:rPr>
          <w:rFonts w:ascii="Arial" w:eastAsia="Times New Roman" w:hAnsi="Arial" w:cs="Arial"/>
          <w:sz w:val="20"/>
          <w:szCs w:val="20"/>
          <w:vertAlign w:val="superscript"/>
          <w:lang w:eastAsia="fr-LU"/>
        </w:rPr>
        <w:t>er</w:t>
      </w:r>
      <w:r w:rsidRPr="00984FD4">
        <w:rPr>
          <w:rFonts w:ascii="Arial" w:eastAsia="Times New Roman" w:hAnsi="Arial" w:cs="Arial"/>
          <w:sz w:val="20"/>
          <w:szCs w:val="20"/>
          <w:lang w:eastAsia="fr-LU"/>
        </w:rPr>
        <w:t xml:space="preserve"> </w:t>
      </w:r>
      <w:r w:rsidR="00556BDF">
        <w:rPr>
          <w:rFonts w:ascii="Arial" w:eastAsia="Times New Roman" w:hAnsi="Arial" w:cs="Arial"/>
          <w:sz w:val="20"/>
          <w:szCs w:val="20"/>
          <w:lang w:eastAsia="fr-LU"/>
        </w:rPr>
        <w:t>a</w:t>
      </w:r>
      <w:r w:rsidR="007C387D">
        <w:rPr>
          <w:rFonts w:ascii="Arial" w:eastAsia="Times New Roman" w:hAnsi="Arial" w:cs="Arial"/>
          <w:sz w:val="20"/>
          <w:szCs w:val="20"/>
          <w:lang w:eastAsia="fr-LU"/>
        </w:rPr>
        <w:t>vril</w:t>
      </w:r>
      <w:r w:rsidRPr="00984FD4">
        <w:rPr>
          <w:rFonts w:ascii="Arial" w:eastAsia="Times New Roman" w:hAnsi="Arial" w:cs="Arial"/>
          <w:sz w:val="20"/>
          <w:szCs w:val="20"/>
          <w:lang w:eastAsia="fr-LU"/>
        </w:rPr>
        <w:t xml:space="preserve"> 202</w:t>
      </w:r>
      <w:r w:rsidR="007C387D">
        <w:rPr>
          <w:rFonts w:ascii="Arial" w:eastAsia="Times New Roman" w:hAnsi="Arial" w:cs="Arial"/>
          <w:sz w:val="20"/>
          <w:szCs w:val="20"/>
          <w:lang w:eastAsia="fr-LU"/>
        </w:rPr>
        <w:t>2</w:t>
      </w:r>
      <w:r w:rsidRPr="00984FD4">
        <w:rPr>
          <w:rFonts w:ascii="Arial" w:eastAsia="Times New Roman" w:hAnsi="Arial" w:cs="Arial"/>
          <w:sz w:val="20"/>
          <w:szCs w:val="20"/>
          <w:lang w:eastAsia="fr-LU"/>
        </w:rPr>
        <w:t>.</w:t>
      </w:r>
    </w:p>
    <w:p w14:paraId="60483E91" w14:textId="77777777" w:rsidR="00B30FD1" w:rsidRPr="00984FD4" w:rsidRDefault="00B30FD1" w:rsidP="00B30FD1">
      <w:pPr>
        <w:pStyle w:val="Paragraphedeliste"/>
        <w:spacing w:after="0" w:line="240" w:lineRule="auto"/>
        <w:jc w:val="both"/>
        <w:rPr>
          <w:rFonts w:ascii="Arial" w:eastAsia="Times New Roman" w:hAnsi="Arial" w:cs="Arial"/>
          <w:sz w:val="20"/>
          <w:szCs w:val="20"/>
          <w:lang w:val="fr-FR"/>
        </w:rPr>
      </w:pPr>
    </w:p>
    <w:p w14:paraId="4E951C50" w14:textId="77777777" w:rsidR="00B30FD1" w:rsidRPr="00984FD4" w:rsidRDefault="00B30FD1" w:rsidP="00B30FD1">
      <w:pPr>
        <w:pStyle w:val="Paragraphedeliste"/>
        <w:numPr>
          <w:ilvl w:val="0"/>
          <w:numId w:val="3"/>
        </w:numPr>
        <w:spacing w:before="100" w:after="0" w:line="240" w:lineRule="auto"/>
        <w:jc w:val="both"/>
        <w:rPr>
          <w:rFonts w:ascii="Arial" w:hAnsi="Arial" w:cs="Arial"/>
          <w:sz w:val="20"/>
          <w:szCs w:val="20"/>
        </w:rPr>
      </w:pPr>
      <w:r w:rsidRPr="00984FD4">
        <w:rPr>
          <w:rFonts w:ascii="Arial" w:hAnsi="Arial" w:cs="Arial"/>
          <w:sz w:val="20"/>
          <w:szCs w:val="20"/>
        </w:rPr>
        <w:t>Les cas non prévus par le présent règlement seront traités par le Conseil d’Administration de la Mutuelle, en conformité avec la loi du 1</w:t>
      </w:r>
      <w:r w:rsidRPr="00984FD4">
        <w:rPr>
          <w:rFonts w:ascii="Arial" w:hAnsi="Arial" w:cs="Arial"/>
          <w:sz w:val="20"/>
          <w:szCs w:val="20"/>
          <w:vertAlign w:val="superscript"/>
        </w:rPr>
        <w:t>er</w:t>
      </w:r>
      <w:r w:rsidRPr="00984FD4">
        <w:rPr>
          <w:rFonts w:ascii="Arial" w:hAnsi="Arial" w:cs="Arial"/>
          <w:sz w:val="20"/>
          <w:szCs w:val="20"/>
        </w:rPr>
        <w:t xml:space="preserve"> août 2019. </w:t>
      </w:r>
    </w:p>
    <w:p w14:paraId="496C0885" w14:textId="77777777" w:rsidR="00B30FD1" w:rsidRPr="00984FD4" w:rsidRDefault="00B30FD1" w:rsidP="00B30FD1">
      <w:pPr>
        <w:spacing w:after="0"/>
        <w:ind w:left="708"/>
        <w:jc w:val="both"/>
        <w:rPr>
          <w:rFonts w:ascii="Arial" w:hAnsi="Arial" w:cs="Arial"/>
          <w:sz w:val="20"/>
          <w:szCs w:val="20"/>
          <w:lang w:val="fr-FR"/>
        </w:rPr>
      </w:pPr>
    </w:p>
    <w:p w14:paraId="508FBFE4" w14:textId="032D4967" w:rsidR="00B30FD1" w:rsidRPr="00984FD4" w:rsidRDefault="00B30FD1" w:rsidP="00B30FD1">
      <w:pPr>
        <w:pStyle w:val="Paragraphedeliste"/>
        <w:numPr>
          <w:ilvl w:val="0"/>
          <w:numId w:val="3"/>
        </w:numPr>
        <w:jc w:val="both"/>
        <w:rPr>
          <w:rFonts w:ascii="Arial" w:hAnsi="Arial" w:cs="Arial"/>
          <w:sz w:val="20"/>
          <w:szCs w:val="20"/>
          <w:lang w:val="fr-FR"/>
        </w:rPr>
      </w:pPr>
      <w:r w:rsidRPr="00984FD4">
        <w:rPr>
          <w:rFonts w:ascii="Arial" w:hAnsi="Arial" w:cs="Arial"/>
          <w:sz w:val="20"/>
          <w:szCs w:val="20"/>
          <w:lang w:val="fr-FR"/>
        </w:rPr>
        <w:t>Les décisions du Conseil d’Administration de la Mutuelle concernant le Fonds social sont susceptibles de recours, par écrit et motivés, durant une période de 6 mois à partir de la date de notification au membre.</w:t>
      </w:r>
    </w:p>
    <w:p w14:paraId="35C1650C" w14:textId="77777777" w:rsidR="00B30FD1" w:rsidRPr="00984FD4" w:rsidRDefault="00B30FD1" w:rsidP="00B30FD1">
      <w:pPr>
        <w:pStyle w:val="Paragraphedeliste"/>
        <w:spacing w:after="0"/>
        <w:jc w:val="both"/>
        <w:rPr>
          <w:rFonts w:ascii="Arial" w:hAnsi="Arial" w:cs="Arial"/>
          <w:sz w:val="20"/>
          <w:szCs w:val="20"/>
          <w:lang w:val="fr-FR"/>
        </w:rPr>
      </w:pPr>
    </w:p>
    <w:p w14:paraId="574E4151" w14:textId="77777777" w:rsidR="00B30FD1" w:rsidRPr="00984FD4" w:rsidRDefault="00B30FD1" w:rsidP="00B30FD1">
      <w:pPr>
        <w:pStyle w:val="Paragraphedeliste"/>
        <w:numPr>
          <w:ilvl w:val="0"/>
          <w:numId w:val="3"/>
        </w:numPr>
        <w:spacing w:before="240"/>
        <w:jc w:val="both"/>
      </w:pPr>
      <w:r w:rsidRPr="00984FD4">
        <w:rPr>
          <w:rFonts w:ascii="Arial" w:hAnsi="Arial" w:cs="Arial"/>
          <w:sz w:val="20"/>
          <w:szCs w:val="20"/>
          <w:lang w:val="fr-FR"/>
        </w:rPr>
        <w:t xml:space="preserve"> Les membres de l’Amicale des membres pensionnés de l’ALEBA pourront introduire une demande de participation pour des prestations postérieures au 1</w:t>
      </w:r>
      <w:r w:rsidRPr="00984FD4">
        <w:rPr>
          <w:rFonts w:ascii="Arial" w:hAnsi="Arial" w:cs="Arial"/>
          <w:sz w:val="20"/>
          <w:szCs w:val="20"/>
          <w:vertAlign w:val="superscript"/>
          <w:lang w:val="fr-FR"/>
        </w:rPr>
        <w:t>er</w:t>
      </w:r>
      <w:r w:rsidRPr="00984FD4">
        <w:rPr>
          <w:rFonts w:ascii="Arial" w:hAnsi="Arial" w:cs="Arial"/>
          <w:sz w:val="20"/>
          <w:szCs w:val="20"/>
          <w:lang w:val="fr-FR"/>
        </w:rPr>
        <w:t xml:space="preserve"> janvier 2021.</w:t>
      </w:r>
    </w:p>
    <w:p w14:paraId="71D11410" w14:textId="77777777" w:rsidR="00B30FD1" w:rsidRDefault="00B30FD1"/>
    <w:sectPr w:rsidR="00B30FD1" w:rsidSect="003F35E0">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C841" w14:textId="77777777" w:rsidR="006E554F" w:rsidRDefault="006E554F" w:rsidP="00200AA4">
      <w:pPr>
        <w:spacing w:after="0" w:line="240" w:lineRule="auto"/>
      </w:pPr>
      <w:r>
        <w:separator/>
      </w:r>
    </w:p>
  </w:endnote>
  <w:endnote w:type="continuationSeparator" w:id="0">
    <w:p w14:paraId="4D616FE7" w14:textId="77777777" w:rsidR="006E554F" w:rsidRDefault="006E554F" w:rsidP="00200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10AB" w14:textId="77777777" w:rsidR="00200AA4" w:rsidRDefault="00200A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46300"/>
      <w:docPartObj>
        <w:docPartGallery w:val="Page Numbers (Bottom of Page)"/>
        <w:docPartUnique/>
      </w:docPartObj>
    </w:sdtPr>
    <w:sdtContent>
      <w:p w14:paraId="4EFE6C43" w14:textId="48AFAB64" w:rsidR="00200AA4" w:rsidRDefault="00200AA4">
        <w:pPr>
          <w:pStyle w:val="Pieddepage"/>
          <w:jc w:val="right"/>
        </w:pPr>
        <w:r>
          <w:fldChar w:fldCharType="begin"/>
        </w:r>
        <w:r>
          <w:instrText>PAGE   \* MERGEFORMAT</w:instrText>
        </w:r>
        <w:r>
          <w:fldChar w:fldCharType="separate"/>
        </w:r>
        <w:r>
          <w:rPr>
            <w:lang w:val="fr-FR"/>
          </w:rPr>
          <w:t>2</w:t>
        </w:r>
        <w:r>
          <w:fldChar w:fldCharType="end"/>
        </w:r>
      </w:p>
    </w:sdtContent>
  </w:sdt>
  <w:p w14:paraId="1C8CA30C" w14:textId="77777777" w:rsidR="00200AA4" w:rsidRDefault="00200A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6CC4" w14:textId="77777777" w:rsidR="00200AA4" w:rsidRDefault="00200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2197" w14:textId="77777777" w:rsidR="006E554F" w:rsidRDefault="006E554F" w:rsidP="00200AA4">
      <w:pPr>
        <w:spacing w:after="0" w:line="240" w:lineRule="auto"/>
      </w:pPr>
      <w:r>
        <w:separator/>
      </w:r>
    </w:p>
  </w:footnote>
  <w:footnote w:type="continuationSeparator" w:id="0">
    <w:p w14:paraId="62EE625F" w14:textId="77777777" w:rsidR="006E554F" w:rsidRDefault="006E554F" w:rsidP="00200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07FF" w14:textId="77777777" w:rsidR="00200AA4" w:rsidRDefault="00200A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EB95" w14:textId="77777777" w:rsidR="00200AA4" w:rsidRDefault="00200AA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A20F" w14:textId="77777777" w:rsidR="00200AA4" w:rsidRDefault="00200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F3C"/>
    <w:multiLevelType w:val="hybridMultilevel"/>
    <w:tmpl w:val="34142D10"/>
    <w:lvl w:ilvl="0" w:tplc="FA34655E">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DE95261"/>
    <w:multiLevelType w:val="singleLevel"/>
    <w:tmpl w:val="040C000F"/>
    <w:lvl w:ilvl="0">
      <w:start w:val="1"/>
      <w:numFmt w:val="decimal"/>
      <w:lvlText w:val="%1."/>
      <w:lvlJc w:val="left"/>
      <w:pPr>
        <w:tabs>
          <w:tab w:val="num" w:pos="360"/>
        </w:tabs>
        <w:ind w:left="360" w:hanging="360"/>
      </w:pPr>
      <w:rPr>
        <w:rFonts w:hint="default"/>
      </w:rPr>
    </w:lvl>
  </w:abstractNum>
  <w:abstractNum w:abstractNumId="2" w15:restartNumberingAfterBreak="0">
    <w:nsid w:val="10F77AAD"/>
    <w:multiLevelType w:val="hybridMultilevel"/>
    <w:tmpl w:val="912857DA"/>
    <w:lvl w:ilvl="0" w:tplc="140C0015">
      <w:start w:val="1"/>
      <w:numFmt w:val="upp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20395860"/>
    <w:multiLevelType w:val="hybridMultilevel"/>
    <w:tmpl w:val="912857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D1"/>
    <w:rsid w:val="0010207D"/>
    <w:rsid w:val="00200AA4"/>
    <w:rsid w:val="00556BDF"/>
    <w:rsid w:val="006E554F"/>
    <w:rsid w:val="007C387D"/>
    <w:rsid w:val="00B30FD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2B21"/>
  <w15:chartTrackingRefBased/>
  <w15:docId w15:val="{F60746B9-CF15-47EB-9FC3-BC3E5DEA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0FD1"/>
    <w:pPr>
      <w:ind w:left="720"/>
      <w:contextualSpacing/>
    </w:pPr>
  </w:style>
  <w:style w:type="character" w:styleId="Lienhypertexte">
    <w:name w:val="Hyperlink"/>
    <w:basedOn w:val="Policepardfaut"/>
    <w:uiPriority w:val="99"/>
    <w:unhideWhenUsed/>
    <w:rsid w:val="00B30FD1"/>
    <w:rPr>
      <w:color w:val="0563C1" w:themeColor="hyperlink"/>
      <w:u w:val="single"/>
    </w:rPr>
  </w:style>
  <w:style w:type="paragraph" w:styleId="En-tte">
    <w:name w:val="header"/>
    <w:basedOn w:val="Normal"/>
    <w:link w:val="En-tteCar"/>
    <w:uiPriority w:val="99"/>
    <w:unhideWhenUsed/>
    <w:rsid w:val="00200AA4"/>
    <w:pPr>
      <w:tabs>
        <w:tab w:val="center" w:pos="4536"/>
        <w:tab w:val="right" w:pos="9072"/>
      </w:tabs>
      <w:spacing w:after="0" w:line="240" w:lineRule="auto"/>
    </w:pPr>
  </w:style>
  <w:style w:type="character" w:customStyle="1" w:styleId="En-tteCar">
    <w:name w:val="En-tête Car"/>
    <w:basedOn w:val="Policepardfaut"/>
    <w:link w:val="En-tte"/>
    <w:uiPriority w:val="99"/>
    <w:rsid w:val="00200AA4"/>
  </w:style>
  <w:style w:type="paragraph" w:styleId="Pieddepage">
    <w:name w:val="footer"/>
    <w:basedOn w:val="Normal"/>
    <w:link w:val="PieddepageCar"/>
    <w:uiPriority w:val="99"/>
    <w:unhideWhenUsed/>
    <w:rsid w:val="00200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0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ba.lu/mutuell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714</Words>
  <Characters>3933</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Beffort</dc:creator>
  <cp:keywords/>
  <dc:description/>
  <cp:lastModifiedBy>Gilbert Beffort</cp:lastModifiedBy>
  <cp:revision>5</cp:revision>
  <cp:lastPrinted>2022-03-28T16:16:00Z</cp:lastPrinted>
  <dcterms:created xsi:type="dcterms:W3CDTF">2022-03-17T12:06:00Z</dcterms:created>
  <dcterms:modified xsi:type="dcterms:W3CDTF">2022-03-28T16:19:00Z</dcterms:modified>
</cp:coreProperties>
</file>